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B2" w:rsidRDefault="003D5EB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D5EB2" w:rsidRDefault="003D5EB2">
      <w:pPr>
        <w:pStyle w:val="ConsPlusNormal"/>
        <w:jc w:val="both"/>
        <w:outlineLvl w:val="0"/>
      </w:pPr>
    </w:p>
    <w:p w:rsidR="003D5EB2" w:rsidRDefault="003D5EB2">
      <w:pPr>
        <w:pStyle w:val="ConsPlusTitle"/>
        <w:jc w:val="center"/>
      </w:pPr>
      <w:r>
        <w:t>ФЕДЕРАЛЬНОЕ АГЕНТСТВО ПО ТЕХНИЧЕСКОМУ РЕГУЛИРОВАНИЮ</w:t>
      </w:r>
    </w:p>
    <w:p w:rsidR="003D5EB2" w:rsidRDefault="003D5EB2">
      <w:pPr>
        <w:pStyle w:val="ConsPlusTitle"/>
        <w:jc w:val="center"/>
      </w:pPr>
      <w:r>
        <w:t>И МЕТРОЛОГИИ</w:t>
      </w:r>
    </w:p>
    <w:p w:rsidR="003D5EB2" w:rsidRDefault="003D5EB2">
      <w:pPr>
        <w:pStyle w:val="ConsPlusTitle"/>
        <w:jc w:val="center"/>
      </w:pPr>
    </w:p>
    <w:p w:rsidR="003D5EB2" w:rsidRDefault="003D5EB2">
      <w:pPr>
        <w:pStyle w:val="ConsPlusTitle"/>
        <w:jc w:val="center"/>
      </w:pPr>
      <w:r>
        <w:t>НАЦИОНАЛЬНЫЙ ОРГАН РОССИЙСКОЙ ФЕДЕРАЦИИ ПО СТАНДАРТИЗАЦИИ</w:t>
      </w:r>
    </w:p>
    <w:p w:rsidR="003D5EB2" w:rsidRDefault="003D5EB2">
      <w:pPr>
        <w:pStyle w:val="ConsPlusTitle"/>
        <w:jc w:val="center"/>
      </w:pPr>
    </w:p>
    <w:p w:rsidR="003D5EB2" w:rsidRDefault="003D5EB2">
      <w:pPr>
        <w:pStyle w:val="ConsPlusTitle"/>
        <w:jc w:val="center"/>
      </w:pPr>
      <w:r>
        <w:t>ТЕХНИЧЕСКИЙ КОМИТЕТ ПО СТАНДАРТИЗАЦИИ ТК 001</w:t>
      </w:r>
    </w:p>
    <w:p w:rsidR="003D5EB2" w:rsidRDefault="003D5EB2">
      <w:pPr>
        <w:pStyle w:val="ConsPlusTitle"/>
        <w:jc w:val="center"/>
      </w:pPr>
      <w:r>
        <w:t>"ПРОИЗВОДСТВЕННЫЕ УСЛУГИ"</w:t>
      </w:r>
    </w:p>
    <w:p w:rsidR="003D5EB2" w:rsidRDefault="003D5EB2">
      <w:pPr>
        <w:pStyle w:val="ConsPlusTitle"/>
        <w:jc w:val="center"/>
      </w:pPr>
    </w:p>
    <w:p w:rsidR="003D5EB2" w:rsidRDefault="003D5EB2">
      <w:pPr>
        <w:pStyle w:val="ConsPlusTitle"/>
        <w:jc w:val="center"/>
      </w:pPr>
      <w:r>
        <w:t>ПИСЬМО</w:t>
      </w:r>
    </w:p>
    <w:p w:rsidR="003D5EB2" w:rsidRDefault="003D5EB2">
      <w:pPr>
        <w:pStyle w:val="ConsPlusTitle"/>
        <w:jc w:val="center"/>
      </w:pPr>
      <w:r>
        <w:t>от 7 апреля 2022 г. N 30-44-22</w:t>
      </w:r>
    </w:p>
    <w:p w:rsidR="003D5EB2" w:rsidRDefault="003D5EB2">
      <w:pPr>
        <w:pStyle w:val="ConsPlusTitle"/>
        <w:jc w:val="center"/>
      </w:pPr>
    </w:p>
    <w:p w:rsidR="003D5EB2" w:rsidRDefault="003D5EB2">
      <w:pPr>
        <w:pStyle w:val="ConsPlusTitle"/>
        <w:jc w:val="center"/>
      </w:pPr>
      <w:r>
        <w:t>О РАЗЪЯСНЕНИИ</w:t>
      </w:r>
    </w:p>
    <w:p w:rsidR="003D5EB2" w:rsidRDefault="003D5EB2">
      <w:pPr>
        <w:pStyle w:val="ConsPlusTitle"/>
        <w:jc w:val="center"/>
      </w:pPr>
      <w:r>
        <w:t xml:space="preserve">НОРМ НАЦИОНАЛЬНОГО СТАНДАРТА ГОСТ </w:t>
      </w:r>
      <w:proofErr w:type="gramStart"/>
      <w:r>
        <w:t>Р</w:t>
      </w:r>
      <w:proofErr w:type="gramEnd"/>
      <w:r>
        <w:t xml:space="preserve"> 57974-2017</w:t>
      </w:r>
    </w:p>
    <w:p w:rsidR="003D5EB2" w:rsidRDefault="003D5EB2">
      <w:pPr>
        <w:pStyle w:val="ConsPlusNormal"/>
        <w:jc w:val="center"/>
      </w:pPr>
    </w:p>
    <w:p w:rsidR="003D5EB2" w:rsidRDefault="003D5EB2">
      <w:pPr>
        <w:pStyle w:val="ConsPlusNormal"/>
        <w:ind w:firstLine="540"/>
        <w:jc w:val="both"/>
      </w:pPr>
      <w:r>
        <w:t xml:space="preserve">Секретариат технического комитета "Производственные услуги" (далее - ТК 001) в связи с большим количеством обращений о статусе действия и порядке применения </w:t>
      </w:r>
      <w:hyperlink r:id="rId6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57974-2017</w:t>
        </w:r>
      </w:hyperlink>
      <w:r>
        <w:t xml:space="preserve"> "Производственные услуги. Организация проведения проверки работоспособности систем и установок противопожарной защиты зданий и сооружений. Общие требования" (далее - ГОСТ </w:t>
      </w:r>
      <w:proofErr w:type="gramStart"/>
      <w:r>
        <w:t>Р</w:t>
      </w:r>
      <w:proofErr w:type="gramEnd"/>
      <w:r>
        <w:t xml:space="preserve"> 57974-2017) сообщает следующее.</w:t>
      </w:r>
    </w:p>
    <w:p w:rsidR="003D5EB2" w:rsidRDefault="003D5EB2">
      <w:pPr>
        <w:pStyle w:val="ConsPlusNormal"/>
        <w:spacing w:before="200"/>
        <w:ind w:firstLine="540"/>
        <w:jc w:val="both"/>
      </w:pPr>
      <w:hyperlink r:id="rId7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57974-2017</w:t>
        </w:r>
      </w:hyperlink>
      <w:r>
        <w:t xml:space="preserve"> утвержден и введен в действие </w:t>
      </w:r>
      <w:hyperlink r:id="rId8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(далее - Росстандарт) от 21 ноября 2017 г. N 1791 с датой введения в действие с 1 мая 2018 г. и в настоящее время имеет статус "действует".</w:t>
      </w:r>
    </w:p>
    <w:p w:rsidR="003D5EB2" w:rsidRDefault="003D5EB2">
      <w:pPr>
        <w:pStyle w:val="ConsPlusNormal"/>
        <w:spacing w:before="200"/>
        <w:ind w:firstLine="540"/>
        <w:jc w:val="both"/>
      </w:pPr>
      <w:hyperlink r:id="rId9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57974-2017</w:t>
        </w:r>
      </w:hyperlink>
      <w:r>
        <w:t xml:space="preserve"> принят в установленном порядке Росстандартом с целью реализации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"Технический регламент о требованиях пожарной безопасности" от 22.07.2008 N 123-ФЗ (далее - 123-ФЗ) и </w:t>
      </w:r>
      <w:hyperlink r:id="rId11">
        <w:r>
          <w:rPr>
            <w:color w:val="0000FF"/>
          </w:rPr>
          <w:t>Правил</w:t>
        </w:r>
      </w:hyperlink>
      <w:r>
        <w:t xml:space="preserve"> противопожарного режима, утвержденных Постановлением Правительства РФ от 16.09.2020 N 1479 (далее - ППР РФ), и содержит требования к организации проведения проверок работоспособности систем, установок противопожарной защиты, а также их элементов (далее - системы ППЗ), вводимых в эксплуатацию и </w:t>
      </w:r>
      <w:proofErr w:type="gramStart"/>
      <w:r>
        <w:t>эксплуатируемых</w:t>
      </w:r>
      <w:proofErr w:type="gramEnd"/>
      <w:r>
        <w:t xml:space="preserve"> сверх срока службы, установленного изготовителем (поставщиком) (при отсутствии информации изготовителя (поставщика) о возможности дальнейшей эксплуатации), до их замены в установленном порядке.</w:t>
      </w:r>
    </w:p>
    <w:p w:rsidR="003D5EB2" w:rsidRDefault="003D5EB2">
      <w:pPr>
        <w:pStyle w:val="ConsPlusNormal"/>
        <w:spacing w:before="200"/>
        <w:ind w:firstLine="540"/>
        <w:jc w:val="both"/>
      </w:pPr>
      <w:r>
        <w:t xml:space="preserve">Необходимость разработки </w:t>
      </w:r>
      <w:hyperlink r:id="rId12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57974-2017</w:t>
        </w:r>
      </w:hyperlink>
      <w:r>
        <w:t xml:space="preserve"> была вызвана отсутствием на государственном уровне конкретных требований к организации проведения проверки работоспособности систем ППЗ, в том числе ввиду отсутствия конкретных требований к срокам их эксплуатации, продлению с последующим установлением новых назначенных показателей, в зависимости от конструктивных особенностей и возможных нормативных изменений, а также устранить саму возможность вмешательства человеческого фактора в системы, от которых зависит наша безопасность.</w:t>
      </w:r>
    </w:p>
    <w:p w:rsidR="003D5EB2" w:rsidRDefault="003D5EB2">
      <w:pPr>
        <w:pStyle w:val="ConsPlusNormal"/>
        <w:spacing w:before="200"/>
        <w:ind w:firstLine="540"/>
        <w:jc w:val="both"/>
      </w:pPr>
      <w:r>
        <w:t>Зачастую ранее руководитель объекта защиты самостоятельно устанавливал срок проведения проверки работоспособности систем ППЗ, основываясь на собственных предположениях, что приводило к небезопасной эксплуатации этих систем и, как следствие, становилось причиной гибели людей, причинения вреда здоровью человека, уничтожения материальных и культурных ценностей.</w:t>
      </w:r>
    </w:p>
    <w:p w:rsidR="003D5EB2" w:rsidRDefault="003D5EB2">
      <w:pPr>
        <w:pStyle w:val="ConsPlusNormal"/>
        <w:spacing w:before="200"/>
        <w:ind w:firstLine="540"/>
        <w:jc w:val="both"/>
      </w:pPr>
      <w:r>
        <w:t>Таким образом, проведение периодической проверки работоспособности до настоящего времени остается единственным способом подтвердить сохранение способности систем ППЗ выполнять заданные функции и убедиться в возможности их дальнейшей эксплуатации на объектах защиты.</w:t>
      </w:r>
    </w:p>
    <w:p w:rsidR="003D5EB2" w:rsidRDefault="003D5EB2">
      <w:pPr>
        <w:pStyle w:val="ConsPlusNormal"/>
        <w:spacing w:before="200"/>
        <w:ind w:firstLine="540"/>
        <w:jc w:val="both"/>
      </w:pPr>
      <w:r>
        <w:t xml:space="preserve">Вместе с тем, согласно ППР РФ </w:t>
      </w:r>
      <w:hyperlink r:id="rId13">
        <w:r>
          <w:rPr>
            <w:color w:val="0000FF"/>
          </w:rPr>
          <w:t>п. 54</w:t>
        </w:r>
      </w:hyperlink>
      <w:r>
        <w:t xml:space="preserve">. Руководитель организации организует работы по ремонту, техническому обслуживанию и эксплуатации средств обеспечения пожарной безопасности и пожаротушения, обеспечивающие исправное состояние указанных средств. Требования к организации проведения проверок работоспособности вводимых в эксплуатацию и эксплуатируемых в зданиях и сооружениях (далее - объект защиты) систем, установок противопожарной защиты и их элементов устанавливает </w:t>
      </w:r>
      <w:hyperlink r:id="rId14">
        <w:r>
          <w:rPr>
            <w:color w:val="0000FF"/>
          </w:rPr>
          <w:t>п. 1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57974-2017. Подтверждение исправного состояния осуществляется согласно формам оценки соответствия, указанным в </w:t>
      </w:r>
      <w:hyperlink r:id="rId15">
        <w:r>
          <w:rPr>
            <w:color w:val="0000FF"/>
          </w:rPr>
          <w:t>Статье 144</w:t>
        </w:r>
      </w:hyperlink>
      <w:r>
        <w:t xml:space="preserve"> 123-ФЗ "Формы оценки соответствия объектов защиты (продукции) требованиям пожарной </w:t>
      </w:r>
      <w:r>
        <w:lastRenderedPageBreak/>
        <w:t>безопасности":</w:t>
      </w:r>
    </w:p>
    <w:p w:rsidR="003D5EB2" w:rsidRDefault="003D5EB2">
      <w:pPr>
        <w:pStyle w:val="ConsPlusNormal"/>
        <w:spacing w:before="200"/>
        <w:jc w:val="both"/>
      </w:pPr>
      <w:r>
        <w:t xml:space="preserve">ч. 1. </w:t>
      </w:r>
      <w:proofErr w:type="gramStart"/>
      <w:r>
        <w:t>Оценка соответствия объектов защиты (продукции), организаций, осуществляющих подтверждение соответствия процессов проектирования, производства, строительства, монтажа, наладки, эксплуатации, хранения, перевозки, реализации и утилизации, требованиям пожарной безопасности, установленным техническими регламентами, принятыми в соответствии с Федеральным законом "О техническом регулировании", нормативными документами по пожарной безопасности, и условиям договоров проводится в формах:</w:t>
      </w:r>
      <w:proofErr w:type="gramEnd"/>
    </w:p>
    <w:p w:rsidR="003D5EB2" w:rsidRDefault="003D5EB2">
      <w:pPr>
        <w:pStyle w:val="ConsPlusNormal"/>
        <w:spacing w:before="200"/>
        <w:ind w:firstLine="540"/>
        <w:jc w:val="both"/>
      </w:pPr>
      <w:r>
        <w:t>3) федерального государственного пожарного надзора;</w:t>
      </w:r>
    </w:p>
    <w:p w:rsidR="003D5EB2" w:rsidRDefault="003D5EB2">
      <w:pPr>
        <w:pStyle w:val="ConsPlusNormal"/>
        <w:spacing w:before="200"/>
        <w:ind w:firstLine="540"/>
        <w:jc w:val="both"/>
      </w:pPr>
      <w:r>
        <w:t>5) исследований (испытаний);</w:t>
      </w:r>
    </w:p>
    <w:p w:rsidR="003D5EB2" w:rsidRDefault="003D5EB2">
      <w:pPr>
        <w:pStyle w:val="ConsPlusNormal"/>
        <w:spacing w:before="200"/>
        <w:ind w:firstLine="540"/>
        <w:jc w:val="both"/>
      </w:pPr>
      <w:r>
        <w:t>6) подтверждения соответствия объектов защиты (продукции).</w:t>
      </w:r>
    </w:p>
    <w:p w:rsidR="003D5EB2" w:rsidRDefault="003D5EB2">
      <w:pPr>
        <w:pStyle w:val="ConsPlusNormal"/>
        <w:spacing w:before="200"/>
        <w:ind w:firstLine="540"/>
        <w:jc w:val="both"/>
      </w:pPr>
      <w:r>
        <w:t xml:space="preserve">Согласно данной </w:t>
      </w:r>
      <w:hyperlink r:id="rId16">
        <w:r>
          <w:rPr>
            <w:color w:val="0000FF"/>
          </w:rPr>
          <w:t>статье</w:t>
        </w:r>
      </w:hyperlink>
      <w:r>
        <w:t xml:space="preserve"> наряду с формой оценки соответствия в форме государственного пожарного надзора собственник (хозяйствующий субъект) может выбрать форму оценки соответствия проведением испытаний и подтверждения соответствия. Определение "Испытание" приведено в </w:t>
      </w:r>
      <w:hyperlink r:id="rId17">
        <w:r>
          <w:rPr>
            <w:color w:val="0000FF"/>
          </w:rPr>
          <w:t>п. 4.2</w:t>
        </w:r>
      </w:hyperlink>
      <w:r>
        <w:t xml:space="preserve"> ГОСТ ISO/IEC 17000-2012 "Оценка соответствия. СЛОВАРЬ И ОБЩИЕ ПРИНЦИПЫ": испытание - определение одной или более характеристик объекта оценки соответствия согласно процедуре.</w:t>
      </w:r>
    </w:p>
    <w:p w:rsidR="003D5EB2" w:rsidRDefault="003D5EB2">
      <w:pPr>
        <w:pStyle w:val="ConsPlusNormal"/>
        <w:spacing w:before="200"/>
        <w:ind w:firstLine="540"/>
        <w:jc w:val="both"/>
      </w:pPr>
      <w:r>
        <w:t xml:space="preserve">Испытания систем противопожарной защиты предусмотрено в составе работ по проверке работоспособности согласно </w:t>
      </w:r>
      <w:hyperlink r:id="rId18">
        <w:r>
          <w:rPr>
            <w:color w:val="0000FF"/>
          </w:rPr>
          <w:t>п. 6.8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57974-2017:</w:t>
      </w:r>
    </w:p>
    <w:p w:rsidR="003D5EB2" w:rsidRDefault="003D5EB2">
      <w:pPr>
        <w:pStyle w:val="ConsPlusNormal"/>
        <w:spacing w:before="200"/>
        <w:ind w:firstLine="540"/>
        <w:jc w:val="both"/>
      </w:pPr>
      <w:r>
        <w:t>Проверка работоспособности системы ППЗ включает в себя следующие этапы:</w:t>
      </w:r>
    </w:p>
    <w:p w:rsidR="003D5EB2" w:rsidRDefault="003D5EB2">
      <w:pPr>
        <w:pStyle w:val="ConsPlusNormal"/>
        <w:spacing w:before="200"/>
        <w:ind w:firstLine="540"/>
        <w:jc w:val="both"/>
      </w:pPr>
      <w:r>
        <w:t>- анализ нормативной, проектной и (или) технической документации, устанавливающей требования к смонтированной на объекте защиты системе ППЗ;</w:t>
      </w:r>
    </w:p>
    <w:p w:rsidR="003D5EB2" w:rsidRDefault="003D5EB2">
      <w:pPr>
        <w:pStyle w:val="ConsPlusNormal"/>
        <w:spacing w:before="200"/>
        <w:ind w:firstLine="540"/>
        <w:jc w:val="both"/>
      </w:pPr>
      <w:r>
        <w:t>- осмотр системы ППЗ на объекте защиты;</w:t>
      </w:r>
    </w:p>
    <w:p w:rsidR="003D5EB2" w:rsidRDefault="003D5EB2">
      <w:pPr>
        <w:pStyle w:val="ConsPlusNormal"/>
        <w:spacing w:before="200"/>
        <w:ind w:firstLine="540"/>
        <w:jc w:val="both"/>
      </w:pPr>
      <w:r>
        <w:t>- испытания (измерения) системы ППЗ. Оформление полученных (фактических) показателей протоколом (актом);</w:t>
      </w:r>
    </w:p>
    <w:p w:rsidR="003D5EB2" w:rsidRDefault="003D5EB2">
      <w:pPr>
        <w:pStyle w:val="ConsPlusNormal"/>
        <w:spacing w:before="200"/>
        <w:ind w:firstLine="540"/>
        <w:jc w:val="both"/>
      </w:pPr>
      <w:r>
        <w:t xml:space="preserve">- анализ соответствия фактических показателей </w:t>
      </w:r>
      <w:proofErr w:type="gramStart"/>
      <w:r>
        <w:t>требуемым</w:t>
      </w:r>
      <w:proofErr w:type="gramEnd"/>
      <w:r>
        <w:t>. Оформление результатов проверки работоспособности системы ППЗ в соответствии с пунктом 6.3".</w:t>
      </w:r>
    </w:p>
    <w:p w:rsidR="003D5EB2" w:rsidRDefault="003D5EB2">
      <w:pPr>
        <w:pStyle w:val="ConsPlusNormal"/>
        <w:spacing w:before="200"/>
        <w:ind w:firstLine="540"/>
        <w:jc w:val="both"/>
      </w:pPr>
      <w:r>
        <w:t xml:space="preserve">Указанная в </w:t>
      </w:r>
      <w:hyperlink r:id="rId19">
        <w:r>
          <w:rPr>
            <w:color w:val="0000FF"/>
          </w:rPr>
          <w:t>ст. 144</w:t>
        </w:r>
      </w:hyperlink>
      <w:r>
        <w:t xml:space="preserve"> 123-ФЗ форма оценки соответствия "Подтверждение соответствия" систем противопожарной защиты предусмотрена </w:t>
      </w:r>
      <w:hyperlink r:id="rId20">
        <w:r>
          <w:rPr>
            <w:color w:val="0000FF"/>
          </w:rPr>
          <w:t>п. 4.2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57974-2017 и является одной из целей проверки:</w:t>
      </w:r>
    </w:p>
    <w:p w:rsidR="003D5EB2" w:rsidRDefault="003D5EB2">
      <w:pPr>
        <w:pStyle w:val="ConsPlusNormal"/>
        <w:spacing w:before="200"/>
        <w:ind w:firstLine="540"/>
        <w:jc w:val="both"/>
      </w:pPr>
      <w:r>
        <w:t>- подтверждение соответствия (несоответствия) работоспособности систем ППЗ;</w:t>
      </w:r>
    </w:p>
    <w:p w:rsidR="003D5EB2" w:rsidRDefault="003D5EB2">
      <w:pPr>
        <w:pStyle w:val="ConsPlusNormal"/>
        <w:spacing w:before="200"/>
        <w:ind w:firstLine="540"/>
        <w:jc w:val="both"/>
      </w:pPr>
      <w:r>
        <w:t>- возможность продления сроков эксплуатации систем ППЗ.</w:t>
      </w:r>
    </w:p>
    <w:p w:rsidR="003D5EB2" w:rsidRDefault="003D5EB2">
      <w:pPr>
        <w:pStyle w:val="ConsPlusNormal"/>
        <w:spacing w:before="200"/>
        <w:ind w:firstLine="540"/>
        <w:jc w:val="both"/>
      </w:pPr>
      <w:r>
        <w:t xml:space="preserve">Также сообщаем о наличии судебной практики необходимости применения </w:t>
      </w:r>
      <w:hyperlink r:id="rId2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57974-2017</w:t>
        </w:r>
      </w:hyperlink>
      <w:r>
        <w:t xml:space="preserve"> при вводе в эксплуатацию объекта (в т.ч. дело N А10-6861/2017) и при его последующей эксплуатации (в т.ч. дело N А65-18339/2018).</w:t>
      </w:r>
    </w:p>
    <w:p w:rsidR="003D5EB2" w:rsidRDefault="003D5EB2">
      <w:pPr>
        <w:pStyle w:val="ConsPlusNormal"/>
        <w:spacing w:before="200"/>
        <w:ind w:firstLine="540"/>
        <w:jc w:val="both"/>
      </w:pPr>
      <w:proofErr w:type="gramStart"/>
      <w:r>
        <w:t xml:space="preserve">Одновременно информирую, что согласно </w:t>
      </w:r>
      <w:hyperlink r:id="rId22">
        <w:r>
          <w:rPr>
            <w:color w:val="0000FF"/>
          </w:rPr>
          <w:t>пункту 3 статьи 26</w:t>
        </w:r>
      </w:hyperlink>
      <w:r>
        <w:t xml:space="preserve"> Федерального закона от 29 июня 2015 года N 162-ФЗ "О стандартизации в Российской Федерации" применение национального стандарта является обязательным для изготовителя и (или) исполнителя в случае публичного заявления о соответствии продукции национальному стандарту, в том числе в случае применения обозначения национального стандарта в маркировке, в эксплуатационной или иной документации, и (или) маркировки</w:t>
      </w:r>
      <w:proofErr w:type="gramEnd"/>
      <w:r>
        <w:t xml:space="preserve"> продукции знаком национальной системы стандартизации.</w:t>
      </w:r>
    </w:p>
    <w:p w:rsidR="003D5EB2" w:rsidRDefault="003D5EB2">
      <w:pPr>
        <w:pStyle w:val="ConsPlusNormal"/>
        <w:spacing w:before="200"/>
        <w:ind w:firstLine="540"/>
        <w:jc w:val="both"/>
      </w:pPr>
      <w:hyperlink r:id="rId23">
        <w:proofErr w:type="gramStart"/>
        <w:r>
          <w:rPr>
            <w:color w:val="0000FF"/>
          </w:rPr>
          <w:t>Статьей 33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предусмотрено, что заказчик при описании в документации объекта закупки должен руководствоваться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</w:t>
      </w:r>
      <w:proofErr w:type="gramEnd"/>
      <w:r>
        <w:t xml:space="preserve"> Федерации о стандартизации, иных требований, связанных с определением соответствия поставляемого товара, выполняемой работы, оказываемой услуги </w:t>
      </w:r>
      <w:r>
        <w:lastRenderedPageBreak/>
        <w:t>потребностям заказчика.</w:t>
      </w:r>
    </w:p>
    <w:p w:rsidR="003D5EB2" w:rsidRDefault="003D5EB2">
      <w:pPr>
        <w:pStyle w:val="ConsPlusNormal"/>
        <w:spacing w:before="200"/>
        <w:ind w:firstLine="540"/>
        <w:jc w:val="both"/>
      </w:pPr>
      <w:r>
        <w:t>Если заказчиком в описании объекта закупки используются ссылки на технические регламенты, стандарты, содержащие показатели, требования, условные обозначения, то в этом случае данная норма является обязательной.</w:t>
      </w:r>
    </w:p>
    <w:p w:rsidR="003D5EB2" w:rsidRDefault="003D5EB2">
      <w:pPr>
        <w:pStyle w:val="ConsPlusNormal"/>
        <w:spacing w:before="200"/>
        <w:ind w:firstLine="540"/>
        <w:jc w:val="both"/>
      </w:pPr>
      <w:r>
        <w:t xml:space="preserve">В соответствии со </w:t>
      </w:r>
      <w:hyperlink r:id="rId24">
        <w:r>
          <w:rPr>
            <w:color w:val="0000FF"/>
          </w:rPr>
          <w:t>статьей 3</w:t>
        </w:r>
      </w:hyperlink>
      <w:r>
        <w:t xml:space="preserve"> Федерального закона РФ от </w:t>
      </w:r>
      <w:proofErr w:type="gramStart"/>
      <w:r>
        <w:t>от</w:t>
      </w:r>
      <w:proofErr w:type="gramEnd"/>
      <w:r>
        <w:t xml:space="preserve"> 27.12.2002 N 184-ФЗ "О техническом регулировании" монтажная организация не может самостоятельно подтверждать выполненные работы.</w:t>
      </w:r>
    </w:p>
    <w:p w:rsidR="003D5EB2" w:rsidRDefault="003D5EB2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РФ от 04.05.2011 N 99-ФЗ "О лицензировании отдельных видов деятельности" (далее - 99-ФЗ) Министерством РФ по делам гражданской обороны, чрезвычайным ситуациям и ликвидации последствий стихийных бедствий выдается лицензия на деятельность по монтажу, техническому обслуживанию и ремонту средств обеспечения пожарной безопасности зданий и сооружений, включая диспетчеризацию и проведение пусконаладочных работ.</w:t>
      </w:r>
      <w:proofErr w:type="gramEnd"/>
    </w:p>
    <w:p w:rsidR="003D5EB2" w:rsidRDefault="003D5EB2">
      <w:pPr>
        <w:pStyle w:val="ConsPlusNormal"/>
        <w:spacing w:before="200"/>
        <w:ind w:firstLine="540"/>
        <w:jc w:val="both"/>
      </w:pPr>
      <w:r>
        <w:t>То есть организация, имеющая лицензию МЧС России, не имеет право проводить проверку работоспособности систем ППЗ, а разрешает только монтировать, сама же процедура лицензирования организаций не включает в себя проверку наличия у организации испытательного оборудования и специалистов по подтверждению качества (экспертов-аудиторов).</w:t>
      </w:r>
    </w:p>
    <w:p w:rsidR="003D5EB2" w:rsidRDefault="003D5EB2">
      <w:pPr>
        <w:pStyle w:val="ConsPlusNormal"/>
        <w:spacing w:before="200"/>
        <w:ind w:firstLine="540"/>
        <w:jc w:val="both"/>
      </w:pPr>
      <w:r>
        <w:t xml:space="preserve">К такому же выводу пришел Арбитражный суд Нижегородской области от 30 августа 2021 года по Делу N А43-10449/2021. </w:t>
      </w:r>
      <w:proofErr w:type="gramStart"/>
      <w:r>
        <w:t xml:space="preserve">Данным судебным решением организация, имеющая лицензию МЧС России, не являлась испытательной лабораторией и не имела разрешения (аккредитации) на проведение работ по контролю качества огнезащитной обработки конструкции, вследствие чего была привлечена к административной ответственности по </w:t>
      </w:r>
      <w:hyperlink r:id="rId26">
        <w:r>
          <w:rPr>
            <w:color w:val="0000FF"/>
          </w:rPr>
          <w:t>части 4 статьи 14.1</w:t>
        </w:r>
      </w:hyperlink>
      <w:r>
        <w:t xml:space="preserve"> Кодекса Российской Федерации об административных правонарушениях за грубое нарушение лицензионных требований, выразившееся в невыполнении требований к работам (услугам), составляющим лицензируемую деятельность, установленных</w:t>
      </w:r>
      <w:proofErr w:type="gramEnd"/>
      <w:r>
        <w:t xml:space="preserve"> нормативным документом по пожарной безопасности.</w:t>
      </w:r>
    </w:p>
    <w:p w:rsidR="003D5EB2" w:rsidRDefault="003D5EB2">
      <w:pPr>
        <w:pStyle w:val="ConsPlusNormal"/>
        <w:spacing w:before="200"/>
        <w:ind w:firstLine="540"/>
        <w:jc w:val="both"/>
      </w:pPr>
      <w:r>
        <w:t xml:space="preserve">Также </w:t>
      </w:r>
      <w:hyperlink r:id="rId27">
        <w:r>
          <w:rPr>
            <w:color w:val="0000FF"/>
          </w:rPr>
          <w:t>пунктом 2 статьи 145</w:t>
        </w:r>
      </w:hyperlink>
      <w:r>
        <w:t xml:space="preserve"> 123-ФЗ установлено, что добровольное подтверждение соответствия объектов защиты (продукции) требованиям пожарной безопасности осуществляется в форме добровольной сертификации.</w:t>
      </w:r>
    </w:p>
    <w:p w:rsidR="003D5EB2" w:rsidRDefault="003D5EB2">
      <w:pPr>
        <w:pStyle w:val="ConsPlusNormal"/>
        <w:spacing w:before="200"/>
        <w:ind w:firstLine="540"/>
        <w:jc w:val="both"/>
      </w:pPr>
      <w:r>
        <w:t xml:space="preserve">Согласно содержаниям </w:t>
      </w:r>
      <w:hyperlink r:id="rId28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57974-2017</w:t>
        </w:r>
      </w:hyperlink>
      <w:r>
        <w:t xml:space="preserve"> и </w:t>
      </w:r>
      <w:hyperlink r:id="rId29">
        <w:r>
          <w:rPr>
            <w:color w:val="0000FF"/>
          </w:rPr>
          <w:t>ГОСТ Р 57369-2016</w:t>
        </w:r>
      </w:hyperlink>
      <w:r>
        <w:t xml:space="preserve"> "Производственные услуги. Термины и определения" руководитель организует проведение проверки работоспособности систем ППЗ с участием специалистов (экспертов-аудиторов), состоящих в штате организации или на договорной основе с привлечением юридических лиц или индивидуальных предпринимателей, обладающих необходимой компетентностью, подтвержденной в системе добровольной сертификации (экспертная организация).</w:t>
      </w:r>
    </w:p>
    <w:p w:rsidR="003D5EB2" w:rsidRDefault="003D5EB2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30">
        <w:r>
          <w:rPr>
            <w:color w:val="0000FF"/>
          </w:rPr>
          <w:t>Положением</w:t>
        </w:r>
      </w:hyperlink>
      <w:r>
        <w:t xml:space="preserve"> о Федеральном агентстве по техническому регулированию, стандартизации и метрологии, утвержденном постановлением Правительства Российской Федерации от 17 июня 2004 г. N 294, Росстандарт осуществляет ведение единого реестра зарегистрированных систем добровольной сертификации в открытом доступе на официальном сайте www.gost.ru.</w:t>
      </w:r>
    </w:p>
    <w:p w:rsidR="003D5EB2" w:rsidRDefault="003D5EB2">
      <w:pPr>
        <w:pStyle w:val="ConsPlusNormal"/>
        <w:spacing w:before="200"/>
        <w:ind w:firstLine="540"/>
        <w:jc w:val="both"/>
      </w:pPr>
      <w:r>
        <w:t>Одновременно сообщаю, что требования к аттестации специалистов (экспертов-аудиторов) устанавливаются внутренними стандартами (правилами) в рамках системы добровольной сертификации.</w:t>
      </w:r>
    </w:p>
    <w:p w:rsidR="003D5EB2" w:rsidRDefault="003D5EB2">
      <w:pPr>
        <w:pStyle w:val="ConsPlusNormal"/>
        <w:ind w:firstLine="540"/>
        <w:jc w:val="both"/>
      </w:pPr>
    </w:p>
    <w:p w:rsidR="003D5EB2" w:rsidRDefault="003D5EB2">
      <w:pPr>
        <w:pStyle w:val="ConsPlusNormal"/>
        <w:jc w:val="right"/>
      </w:pPr>
      <w:r>
        <w:t>Ответственный секретарь ТК 001</w:t>
      </w:r>
    </w:p>
    <w:p w:rsidR="003D5EB2" w:rsidRDefault="003D5EB2">
      <w:pPr>
        <w:pStyle w:val="ConsPlusNormal"/>
        <w:jc w:val="right"/>
      </w:pPr>
      <w:r>
        <w:t>О.А.ОРЛОВА</w:t>
      </w:r>
    </w:p>
    <w:p w:rsidR="003D5EB2" w:rsidRDefault="003D5EB2">
      <w:pPr>
        <w:pStyle w:val="ConsPlusNormal"/>
        <w:jc w:val="both"/>
      </w:pPr>
    </w:p>
    <w:p w:rsidR="003D5EB2" w:rsidRDefault="003D5EB2">
      <w:pPr>
        <w:pStyle w:val="ConsPlusNormal"/>
        <w:jc w:val="both"/>
      </w:pPr>
    </w:p>
    <w:p w:rsidR="003D5EB2" w:rsidRDefault="003D5E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8A0" w:rsidRDefault="003A48A0">
      <w:bookmarkStart w:id="0" w:name="_GoBack"/>
      <w:bookmarkEnd w:id="0"/>
    </w:p>
    <w:sectPr w:rsidR="003A48A0" w:rsidSect="004A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B2"/>
    <w:rsid w:val="003A48A0"/>
    <w:rsid w:val="003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E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D5E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D5E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E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D5E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D5E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8F043E7AE787A9FB70F842D3D37C7465E8B5945F6F5E612CC520E084136F58B495CFD1FCAA4FE234D9678FC2C09CB679BAC8F4DE92EC1EuDg3M" TargetMode="External"/><Relationship Id="rId13" Type="http://schemas.openxmlformats.org/officeDocument/2006/relationships/hyperlink" Target="consultantplus://offline/ref=038F043E7AE787A9FB70F842D3D37C7464E8B99352645E612CC520E084136F58B495CFD1FCAA4EE634D9678FC2C09CB679BAC8F4DE92EC1EuDg3M" TargetMode="External"/><Relationship Id="rId18" Type="http://schemas.openxmlformats.org/officeDocument/2006/relationships/hyperlink" Target="consultantplus://offline/ref=038F043E7AE787A9FB70F842D3D37C7464E6BD975F615E612CC520E084136F58B495CFD1FCAA4EE33AD9678FC2C09CB679BAC8F4DE92EC1EuDg3M" TargetMode="External"/><Relationship Id="rId26" Type="http://schemas.openxmlformats.org/officeDocument/2006/relationships/hyperlink" Target="consultantplus://offline/ref=038F043E7AE787A9FB70F842D3D37C7463E2BD955B605E612CC520E084136F58B495CFD6F4AF47E96683778B8B9790AA78A3D6F1C092uEgE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38F043E7AE787A9FB70F842D3D37C7464E6BD975F615E612CC520E084136F58A69597DDFEAB51E235CC31DE84u9g7M" TargetMode="External"/><Relationship Id="rId7" Type="http://schemas.openxmlformats.org/officeDocument/2006/relationships/hyperlink" Target="consultantplus://offline/ref=038F043E7AE787A9FB70F842D3D37C7464E6BD975F615E612CC520E084136F58A69597DDFEAB51E235CC31DE84u9g7M" TargetMode="External"/><Relationship Id="rId12" Type="http://schemas.openxmlformats.org/officeDocument/2006/relationships/hyperlink" Target="consultantplus://offline/ref=038F043E7AE787A9FB70F842D3D37C7464E6BD975F615E612CC520E084136F58A69597DDFEAB51E235CC31DE84u9g7M" TargetMode="External"/><Relationship Id="rId17" Type="http://schemas.openxmlformats.org/officeDocument/2006/relationships/hyperlink" Target="consultantplus://offline/ref=038F043E7AE787A9FB70FB57CAD37C746EE4B993503109637D902EE58C432748FAD0C2D0FDAA47E96683778B8B9790AA78A3D6F1C092uEgEM" TargetMode="External"/><Relationship Id="rId25" Type="http://schemas.openxmlformats.org/officeDocument/2006/relationships/hyperlink" Target="consultantplus://offline/ref=038F043E7AE787A9FB70F842D3D37C7464E9B8935F625E612CC520E084136F58B495CFD1FCAA4EE337D9678FC2C09CB679BAC8F4DE92EC1EuDg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38F043E7AE787A9FB70F842D3D37C7464E8BF9653655E612CC520E084136F58B495CFD1FCAB4DEA30D9678FC2C09CB679BAC8F4DE92EC1EuDg3M" TargetMode="External"/><Relationship Id="rId20" Type="http://schemas.openxmlformats.org/officeDocument/2006/relationships/hyperlink" Target="consultantplus://offline/ref=038F043E7AE787A9FB70F842D3D37C7464E6BD975F615E612CC520E084136F58B495CFD1FCAA4FE433D9678FC2C09CB679BAC8F4DE92EC1EuDg3M" TargetMode="External"/><Relationship Id="rId29" Type="http://schemas.openxmlformats.org/officeDocument/2006/relationships/hyperlink" Target="consultantplus://offline/ref=038F043E7AE787A9FB70FB57CAD37C7466E8BC905F6C036B249C2CE2831C305DB384CFD2FDB44FE52CD033DCu8g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8F043E7AE787A9FB70F842D3D37C7464E6BD975F615E612CC520E084136F58A69597DDFEAB51E235CC31DE84u9g7M" TargetMode="External"/><Relationship Id="rId11" Type="http://schemas.openxmlformats.org/officeDocument/2006/relationships/hyperlink" Target="consultantplus://offline/ref=038F043E7AE787A9FB70F842D3D37C7464E8B99352645E612CC520E084136F58B495CFD1FCAA4FE23BD9678FC2C09CB679BAC8F4DE92EC1EuDg3M" TargetMode="External"/><Relationship Id="rId24" Type="http://schemas.openxmlformats.org/officeDocument/2006/relationships/hyperlink" Target="consultantplus://offline/ref=038F043E7AE787A9FB70F842D3D37C7464E8B4935B6E5E612CC520E084136F58B495CFD1FCAA4FE636D9678FC2C09CB679BAC8F4DE92EC1EuDg3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38F043E7AE787A9FB70F842D3D37C7464E8BF9653655E612CC520E084136F58B495CFD1FCAB4DE534D9678FC2C09CB679BAC8F4DE92EC1EuDg3M" TargetMode="External"/><Relationship Id="rId23" Type="http://schemas.openxmlformats.org/officeDocument/2006/relationships/hyperlink" Target="consultantplus://offline/ref=038F043E7AE787A9FB70F842D3D37C7463E2BC9759635E612CC520E084136F58B495CFD1FCAA4CEA34D9678FC2C09CB679BAC8F4DE92EC1EuDg3M" TargetMode="External"/><Relationship Id="rId28" Type="http://schemas.openxmlformats.org/officeDocument/2006/relationships/hyperlink" Target="consultantplus://offline/ref=038F043E7AE787A9FB70F842D3D37C7464E6BD975F615E612CC520E084136F58B495CFD1FCAA4FE532D9678FC2C09CB679BAC8F4DE92EC1EuDg3M" TargetMode="External"/><Relationship Id="rId10" Type="http://schemas.openxmlformats.org/officeDocument/2006/relationships/hyperlink" Target="consultantplus://offline/ref=038F043E7AE787A9FB70F842D3D37C7464E8BF9653655E612CC520E084136F58B495CFD1FCAB4DE534D9678FC2C09CB679BAC8F4DE92EC1EuDg3M" TargetMode="External"/><Relationship Id="rId19" Type="http://schemas.openxmlformats.org/officeDocument/2006/relationships/hyperlink" Target="consultantplus://offline/ref=038F043E7AE787A9FB70F842D3D37C7464E8BF9653655E612CC520E084136F58B495CFD1FCAB4DEA31D9678FC2C09CB679BAC8F4DE92EC1EuDg3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8F043E7AE787A9FB70F842D3D37C7464E6BD975F615E612CC520E084136F58A69597DDFEAB51E235CC31DE84u9g7M" TargetMode="External"/><Relationship Id="rId14" Type="http://schemas.openxmlformats.org/officeDocument/2006/relationships/hyperlink" Target="consultantplus://offline/ref=038F043E7AE787A9FB70F842D3D37C7464E6BD975F615E612CC520E084136F58B495CFD1FCAA4FE33BD9678FC2C09CB679BAC8F4DE92EC1EuDg3M" TargetMode="External"/><Relationship Id="rId22" Type="http://schemas.openxmlformats.org/officeDocument/2006/relationships/hyperlink" Target="consultantplus://offline/ref=038F043E7AE787A9FB70F842D3D37C7464E7BE9A526E5E612CC520E084136F58B495CFD1FCAA4DEA37D9678FC2C09CB679BAC8F4DE92EC1EuDg3M" TargetMode="External"/><Relationship Id="rId27" Type="http://schemas.openxmlformats.org/officeDocument/2006/relationships/hyperlink" Target="consultantplus://offline/ref=038F043E7AE787A9FB70F842D3D37C7464E8BF9653655E612CC520E084136F58B495CFD1FCAB4DEB32D9678FC2C09CB679BAC8F4DE92EC1EuDg3M" TargetMode="External"/><Relationship Id="rId30" Type="http://schemas.openxmlformats.org/officeDocument/2006/relationships/hyperlink" Target="consultantplus://offline/ref=038F043E7AE787A9FB70F842D3D37C7464E9B59758675E612CC520E084136F58B495CFD1FCAA4FE735D9678FC2C09CB679BAC8F4DE92EC1EuDg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2022-07-21T12:32:00Z</dcterms:created>
  <dcterms:modified xsi:type="dcterms:W3CDTF">2022-07-21T12:32:00Z</dcterms:modified>
</cp:coreProperties>
</file>